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3A4F" w14:textId="2D376B50" w:rsidR="00F1529F" w:rsidRPr="00F1529F" w:rsidRDefault="00F1529F" w:rsidP="00F1529F">
      <w:pPr>
        <w:jc w:val="center"/>
        <w:rPr>
          <w:b/>
          <w:bCs/>
        </w:rPr>
      </w:pPr>
      <w:r w:rsidRPr="00F1529F">
        <w:rPr>
          <w:b/>
          <w:bCs/>
        </w:rPr>
        <w:t>REJESTR MAGAZYNÓW ENERGII ELEKTRYCZNEJ</w:t>
      </w:r>
    </w:p>
    <w:p w14:paraId="69FA8E17" w14:textId="77777777" w:rsidR="00F1529F" w:rsidRDefault="00F1529F" w:rsidP="005B0958">
      <w:pPr>
        <w:ind w:firstLine="708"/>
      </w:pPr>
    </w:p>
    <w:p w14:paraId="33AF168D" w14:textId="3037DBDE" w:rsidR="005B0958" w:rsidRDefault="005B0958" w:rsidP="005B0958">
      <w:pPr>
        <w:ind w:firstLine="708"/>
      </w:pPr>
      <w:r>
        <w:t>Zgodnie z art. 43g ust. 1 ustawy – Prawo energetyczne operator systemu elektroenergetycznego prowadzi, w postaci elektronicznej, rejestr magazynów energii elektrycznej przyłączonych do jego sieci, stanowiących jej część lub wchodzących w skład jednostki wytwórczej lub instalacji odbiorcy końcowego przyłączonej do jego sieci, zgodnie z wzorem określonym w przepisach wykonawczych.</w:t>
      </w:r>
    </w:p>
    <w:p w14:paraId="53EFD160" w14:textId="77777777" w:rsidR="005B0958" w:rsidRDefault="005B0958" w:rsidP="005B0958"/>
    <w:p w14:paraId="5F00DCBD" w14:textId="24BF36FE" w:rsidR="005B0958" w:rsidRDefault="005B0958" w:rsidP="005B0958">
      <w:pPr>
        <w:ind w:firstLine="708"/>
      </w:pPr>
      <w:r>
        <w:t xml:space="preserve">W przypadku gdy właściwym do dokonania wpisu do rejestru </w:t>
      </w:r>
      <w:r w:rsidRPr="005B0958">
        <w:t>magazynów energii elektrycznej</w:t>
      </w:r>
      <w:r>
        <w:t xml:space="preserve"> może być więcej niż jeden operator systemu elektroenergetycznego, wpisu do tego rejestru dokonuje operator wybrany przez posiadacza magazynu energii elektrycznej.</w:t>
      </w:r>
    </w:p>
    <w:p w14:paraId="5765F392" w14:textId="77777777" w:rsidR="005B0958" w:rsidRDefault="005B0958" w:rsidP="005B0958">
      <w:pPr>
        <w:ind w:firstLine="708"/>
      </w:pPr>
    </w:p>
    <w:p w14:paraId="3F211D5F" w14:textId="5EF4C754" w:rsidR="005B0958" w:rsidRDefault="005B0958" w:rsidP="005B0958">
      <w:pPr>
        <w:ind w:firstLine="708"/>
      </w:pPr>
      <w:r>
        <w:t>Wpisowi do rejestru</w:t>
      </w:r>
      <w:r w:rsidR="00F146C5" w:rsidRPr="00F146C5">
        <w:t xml:space="preserve"> magazynów energii </w:t>
      </w:r>
      <w:proofErr w:type="gramStart"/>
      <w:r w:rsidR="00F146C5" w:rsidRPr="00F146C5">
        <w:t xml:space="preserve">elektrycznej </w:t>
      </w:r>
      <w:r w:rsidR="00F146C5">
        <w:t xml:space="preserve"> </w:t>
      </w:r>
      <w:r>
        <w:t>podlegają</w:t>
      </w:r>
      <w:proofErr w:type="gramEnd"/>
      <w:r>
        <w:t xml:space="preserve"> magazyny energii elektrycznej o łącznej mocy zainstalowanej większej niż 50 </w:t>
      </w:r>
      <w:proofErr w:type="spellStart"/>
      <w:r>
        <w:t>kW.</w:t>
      </w:r>
      <w:proofErr w:type="spellEnd"/>
    </w:p>
    <w:p w14:paraId="7A2FCB6A" w14:textId="77777777" w:rsidR="00F146C5" w:rsidRDefault="00F146C5" w:rsidP="005B0958">
      <w:pPr>
        <w:ind w:firstLine="708"/>
      </w:pPr>
    </w:p>
    <w:p w14:paraId="7E0F60C5" w14:textId="77777777" w:rsidR="00F146C5" w:rsidRDefault="005B0958" w:rsidP="00F146C5">
      <w:pPr>
        <w:ind w:firstLine="708"/>
      </w:pPr>
      <w:r>
        <w:t>Operator systemu elektroenergetycznego jest obowiązany wpisać magazyn energii elektrycznej do rejestru</w:t>
      </w:r>
      <w:r w:rsidR="00F146C5">
        <w:t xml:space="preserve"> </w:t>
      </w:r>
      <w:r w:rsidR="00F146C5" w:rsidRPr="00F146C5">
        <w:t>magazynów energii elektrycznej</w:t>
      </w:r>
      <w:r w:rsidR="00F146C5">
        <w:t xml:space="preserve"> </w:t>
      </w:r>
      <w:r>
        <w:t>w terminie 14 dni od dnia oddania tego magazynu do eksploatacji lub otrzymania informacji</w:t>
      </w:r>
      <w:r w:rsidR="00F146C5">
        <w:t xml:space="preserve"> przekazanej przez posiadacza magazynu. </w:t>
      </w:r>
    </w:p>
    <w:p w14:paraId="3CBD4EC8" w14:textId="77777777" w:rsidR="00F146C5" w:rsidRDefault="00F146C5" w:rsidP="005B0958"/>
    <w:p w14:paraId="1D482C45" w14:textId="1845C674" w:rsidR="005B0958" w:rsidRDefault="00740D6F" w:rsidP="00F146C5">
      <w:pPr>
        <w:ind w:firstLine="708"/>
      </w:pPr>
      <w:r>
        <w:t>G</w:t>
      </w:r>
      <w:r w:rsidR="005B0958">
        <w:t xml:space="preserve">dy magazyn energii elektrycznej wchodzi w skład jednostki wytwórczej lub instalacji odbiorcy końcowego przyłączonej do sieci danego operatora systemu elektroenergetycznego, posiadacz tego magazynu jest obowiązany przekazać temu operatorowi informację zawierającą </w:t>
      </w:r>
      <w:r>
        <w:t xml:space="preserve">określone </w:t>
      </w:r>
      <w:r w:rsidR="005B0958">
        <w:t>dane</w:t>
      </w:r>
      <w:r>
        <w:t xml:space="preserve"> </w:t>
      </w:r>
      <w:r w:rsidR="005B0958">
        <w:t>w terminie 7 dni od dnia oddania tego magazynu do eksploatacji.</w:t>
      </w:r>
    </w:p>
    <w:p w14:paraId="2AB90D73" w14:textId="77777777" w:rsidR="00740D6F" w:rsidRDefault="00740D6F" w:rsidP="00F146C5">
      <w:pPr>
        <w:ind w:firstLine="708"/>
      </w:pPr>
    </w:p>
    <w:p w14:paraId="74D7136D" w14:textId="7E8452B5" w:rsidR="005B0958" w:rsidRDefault="005B0958" w:rsidP="00740D6F">
      <w:pPr>
        <w:ind w:firstLine="708"/>
      </w:pPr>
      <w:r>
        <w:t>Rejestr</w:t>
      </w:r>
      <w:r w:rsidR="00740D6F">
        <w:t xml:space="preserve"> </w:t>
      </w:r>
      <w:r w:rsidR="00740D6F" w:rsidRPr="00740D6F">
        <w:t>magazynów energii elektrycznej</w:t>
      </w:r>
      <w:r>
        <w:t xml:space="preserve"> zawiera:</w:t>
      </w:r>
    </w:p>
    <w:p w14:paraId="0281745C" w14:textId="6D71067C" w:rsidR="005B0958" w:rsidRDefault="005B0958" w:rsidP="00740D6F">
      <w:pPr>
        <w:pStyle w:val="Akapitzlist"/>
        <w:numPr>
          <w:ilvl w:val="0"/>
          <w:numId w:val="2"/>
        </w:numPr>
      </w:pPr>
      <w:r>
        <w:t>oznaczenie posiadacza magazynu energii elektrycznej, w tym:</w:t>
      </w:r>
    </w:p>
    <w:p w14:paraId="7702FA4C" w14:textId="59286F03" w:rsidR="005B0958" w:rsidRDefault="005B0958" w:rsidP="00740D6F">
      <w:pPr>
        <w:pStyle w:val="Akapitzlist"/>
        <w:numPr>
          <w:ilvl w:val="1"/>
          <w:numId w:val="2"/>
        </w:numPr>
      </w:pPr>
      <w:r>
        <w:t>imię i nazwisko albo nazwę wraz z oznaczeniem formy prawnej posiadacza magazynu energii elektrycznej,</w:t>
      </w:r>
    </w:p>
    <w:p w14:paraId="3A4C2DA0" w14:textId="1CF4D8A7" w:rsidR="005B0958" w:rsidRDefault="005B0958" w:rsidP="00740D6F">
      <w:pPr>
        <w:pStyle w:val="Akapitzlist"/>
        <w:numPr>
          <w:ilvl w:val="1"/>
          <w:numId w:val="2"/>
        </w:numPr>
      </w:pPr>
      <w:r>
        <w:t>miejsce prowadzenia działalności gospodarczej, siedzibę oraz jej adres,</w:t>
      </w:r>
    </w:p>
    <w:p w14:paraId="039C808A" w14:textId="39E7B899" w:rsidR="005B0958" w:rsidRDefault="005B0958" w:rsidP="00740D6F">
      <w:pPr>
        <w:pStyle w:val="Akapitzlist"/>
        <w:numPr>
          <w:ilvl w:val="1"/>
          <w:numId w:val="2"/>
        </w:numPr>
      </w:pPr>
      <w:r>
        <w:t>numer PESEL albo numer identyfikacji podatkowej (NIP), o ile taki posiada;</w:t>
      </w:r>
    </w:p>
    <w:p w14:paraId="487E6CB3" w14:textId="2F3EAAF0" w:rsidR="005B0958" w:rsidRDefault="005B0958" w:rsidP="00740D6F">
      <w:pPr>
        <w:pStyle w:val="Akapitzlist"/>
        <w:numPr>
          <w:ilvl w:val="0"/>
          <w:numId w:val="2"/>
        </w:numPr>
      </w:pPr>
      <w:r>
        <w:t>oznaczenie magazynu energii elektrycznej zawierające:</w:t>
      </w:r>
    </w:p>
    <w:p w14:paraId="3343659F" w14:textId="3C655D69" w:rsidR="005B0958" w:rsidRDefault="005B0958" w:rsidP="00740D6F">
      <w:pPr>
        <w:pStyle w:val="Akapitzlist"/>
        <w:numPr>
          <w:ilvl w:val="1"/>
          <w:numId w:val="2"/>
        </w:numPr>
      </w:pPr>
      <w:r>
        <w:t>określenie technologii wykorzystywanej do magazynowania energii elektrycznej,</w:t>
      </w:r>
    </w:p>
    <w:p w14:paraId="42950EAA" w14:textId="127E5A71" w:rsidR="005B0958" w:rsidRDefault="005B0958" w:rsidP="00740D6F">
      <w:pPr>
        <w:pStyle w:val="Akapitzlist"/>
        <w:numPr>
          <w:ilvl w:val="1"/>
          <w:numId w:val="2"/>
        </w:numPr>
      </w:pPr>
      <w:r>
        <w:t>dane dotyczące łącznej mocy zainstalowanej magazynu energii elektrycznej określonej w kW,</w:t>
      </w:r>
    </w:p>
    <w:p w14:paraId="6D527DA8" w14:textId="1E341C08" w:rsidR="005B0958" w:rsidRDefault="005B0958" w:rsidP="00740D6F">
      <w:pPr>
        <w:pStyle w:val="Akapitzlist"/>
        <w:numPr>
          <w:ilvl w:val="1"/>
          <w:numId w:val="2"/>
        </w:numPr>
      </w:pPr>
      <w:r>
        <w:t>dane dotyczące pojemności magazynu energii elektrycznej określonej w kWh,</w:t>
      </w:r>
    </w:p>
    <w:p w14:paraId="7FC481B8" w14:textId="77777777" w:rsidR="008B4EDA" w:rsidRDefault="005B0958" w:rsidP="008B4EDA">
      <w:pPr>
        <w:pStyle w:val="Akapitzlist"/>
        <w:numPr>
          <w:ilvl w:val="1"/>
          <w:numId w:val="2"/>
        </w:numPr>
      </w:pPr>
      <w:r>
        <w:t>sprawność magazynu energii elektrycznej,</w:t>
      </w:r>
    </w:p>
    <w:p w14:paraId="39CA89B4" w14:textId="77777777" w:rsidR="008B4EDA" w:rsidRDefault="005B0958" w:rsidP="008B4EDA">
      <w:pPr>
        <w:pStyle w:val="Akapitzlist"/>
        <w:numPr>
          <w:ilvl w:val="1"/>
          <w:numId w:val="2"/>
        </w:numPr>
      </w:pPr>
      <w:r>
        <w:t>maksymalną moc ładowania wyrażoną w kW,</w:t>
      </w:r>
    </w:p>
    <w:p w14:paraId="1C1CB413" w14:textId="77777777" w:rsidR="008B4EDA" w:rsidRDefault="005B0958" w:rsidP="008B4EDA">
      <w:pPr>
        <w:pStyle w:val="Akapitzlist"/>
        <w:numPr>
          <w:ilvl w:val="1"/>
          <w:numId w:val="2"/>
        </w:numPr>
      </w:pPr>
      <w:r>
        <w:t>maksymalną moc rozładowania wyrażoną w kW,</w:t>
      </w:r>
    </w:p>
    <w:p w14:paraId="72DE4D61" w14:textId="77777777" w:rsidR="008B4EDA" w:rsidRDefault="005B0958" w:rsidP="008B4EDA">
      <w:pPr>
        <w:pStyle w:val="Akapitzlist"/>
        <w:numPr>
          <w:ilvl w:val="1"/>
          <w:numId w:val="2"/>
        </w:numPr>
      </w:pPr>
      <w:r>
        <w:lastRenderedPageBreak/>
        <w:t>miejsce przyłączenia magazynu energii elektrycznej,</w:t>
      </w:r>
    </w:p>
    <w:p w14:paraId="446586EB" w14:textId="60F6B082" w:rsidR="005B0958" w:rsidRDefault="005B0958" w:rsidP="008B4EDA">
      <w:pPr>
        <w:pStyle w:val="Akapitzlist"/>
        <w:numPr>
          <w:ilvl w:val="1"/>
          <w:numId w:val="2"/>
        </w:numPr>
      </w:pPr>
      <w:proofErr w:type="gramStart"/>
      <w:r>
        <w:t>wskazanie,</w:t>
      </w:r>
      <w:proofErr w:type="gramEnd"/>
      <w:r>
        <w:t xml:space="preserve"> czy magazyn energii elektrycznej stanowi część jednostki wytwórczej lub instalacji odbiorcy końcowego;</w:t>
      </w:r>
    </w:p>
    <w:p w14:paraId="3F95ADB6" w14:textId="672C89D3" w:rsidR="005B0958" w:rsidRDefault="005B0958" w:rsidP="00740D6F">
      <w:pPr>
        <w:pStyle w:val="Akapitzlist"/>
        <w:numPr>
          <w:ilvl w:val="0"/>
          <w:numId w:val="2"/>
        </w:numPr>
      </w:pPr>
      <w:r>
        <w:t>tytuł prawny do posiadanego magazynu energii elektrycznej.</w:t>
      </w:r>
    </w:p>
    <w:p w14:paraId="4C8D3E29" w14:textId="77777777" w:rsidR="008B4EDA" w:rsidRDefault="008B4EDA" w:rsidP="005B0958"/>
    <w:p w14:paraId="6C35FF79" w14:textId="41B4CD41" w:rsidR="005B0958" w:rsidRDefault="005B0958" w:rsidP="008B4EDA">
      <w:pPr>
        <w:ind w:firstLine="360"/>
      </w:pPr>
      <w:r>
        <w:t>Rejestr</w:t>
      </w:r>
      <w:r w:rsidR="008B4EDA">
        <w:t xml:space="preserve"> magazynów energii elektrycznej</w:t>
      </w:r>
      <w:r>
        <w:t xml:space="preserve"> jest jawny i udostępniany przez operatora systemu elektroenergetycznego na jego stronie internetowej, z wyłączeniem informacji stanowiących tajemnicę przedsiębiorstwa, które zastrzegł posiadacz magazynu energii elektrycznej, lub podlegających ochronie danych osobowych.</w:t>
      </w:r>
    </w:p>
    <w:p w14:paraId="52869E40" w14:textId="77777777" w:rsidR="008B4EDA" w:rsidRDefault="008B4EDA" w:rsidP="008B4EDA">
      <w:pPr>
        <w:ind w:firstLine="360"/>
      </w:pPr>
    </w:p>
    <w:p w14:paraId="1CC27B41" w14:textId="5715BBAF" w:rsidR="00BC1030" w:rsidRDefault="005B0958" w:rsidP="008B4EDA">
      <w:pPr>
        <w:ind w:firstLine="360"/>
      </w:pPr>
      <w:r>
        <w:t xml:space="preserve">Posiadacz magazynu energii elektrycznej powiadamia operatora systemu elektroenergetycznego o wszelkiej zmianie danych </w:t>
      </w:r>
      <w:r w:rsidR="008B4EDA">
        <w:t xml:space="preserve">zawartych w rejestrze </w:t>
      </w:r>
      <w:r>
        <w:t>w terminie 14 dni od dnia zmiany tych danych. Operator systemu elektroenergetycznego jest obowiązany do zaktualizowania tych danych w terminie 14 dni od dnia otrzymania powiadomienia.</w:t>
      </w:r>
    </w:p>
    <w:p w14:paraId="780B53F3" w14:textId="77777777" w:rsidR="00A45738" w:rsidRDefault="00A45738" w:rsidP="008B4EDA">
      <w:pPr>
        <w:ind w:firstLine="360"/>
      </w:pPr>
    </w:p>
    <w:p w14:paraId="5A75DED0" w14:textId="5ED82F7C" w:rsidR="00A45738" w:rsidRDefault="00A45738" w:rsidP="00A45738">
      <w:pPr>
        <w:ind w:firstLine="360"/>
      </w:pPr>
      <w:r>
        <w:t>Informacje przygotowane na podstawie wzoru informacji</w:t>
      </w:r>
      <w:r w:rsidR="00684181">
        <w:t xml:space="preserve"> (</w:t>
      </w:r>
      <w:r w:rsidR="00684181" w:rsidRPr="00684181">
        <w:t xml:space="preserve">o której mowa w art. 43g ust. 5 ustawy z dnia 10 kwietnia 1997 r. - Prawo </w:t>
      </w:r>
      <w:proofErr w:type="gramStart"/>
      <w:r w:rsidR="00684181" w:rsidRPr="00684181">
        <w:t>energetyczne</w:t>
      </w:r>
      <w:r w:rsidR="00684181">
        <w:t xml:space="preserve">) </w:t>
      </w:r>
      <w:r>
        <w:t xml:space="preserve"> mogą</w:t>
      </w:r>
      <w:proofErr w:type="gramEnd"/>
      <w:r>
        <w:t xml:space="preserve"> Państwo przesłać do nas za pomocą </w:t>
      </w:r>
      <w:r w:rsidR="00163B67">
        <w:t>poczty elektronicznej lub</w:t>
      </w:r>
      <w:r>
        <w:t xml:space="preserve"> przesłać na nasz adres korespondencyjny</w:t>
      </w:r>
      <w:r w:rsidR="00163B67">
        <w:t xml:space="preserve">. </w:t>
      </w:r>
    </w:p>
    <w:p w14:paraId="3533EEB3" w14:textId="77777777" w:rsidR="008B4EDA" w:rsidRDefault="008B4EDA" w:rsidP="008B4EDA">
      <w:pPr>
        <w:ind w:firstLine="360"/>
      </w:pPr>
    </w:p>
    <w:p w14:paraId="0748969B" w14:textId="54E4C7BF" w:rsidR="008B4EDA" w:rsidRDefault="00F1529F" w:rsidP="00777B99">
      <w:pPr>
        <w:rPr>
          <w:b/>
          <w:bCs/>
        </w:rPr>
      </w:pPr>
      <w:r w:rsidRPr="00F1529F">
        <w:rPr>
          <w:b/>
          <w:bCs/>
        </w:rPr>
        <w:t xml:space="preserve">Rejestr magazynów energii – </w:t>
      </w:r>
      <w:hyperlink r:id="rId5" w:history="1">
        <w:r w:rsidRPr="00864A1E">
          <w:rPr>
            <w:rStyle w:val="Hipercze"/>
            <w:b/>
            <w:bCs/>
          </w:rPr>
          <w:t>do pob</w:t>
        </w:r>
        <w:r w:rsidRPr="00864A1E">
          <w:rPr>
            <w:rStyle w:val="Hipercze"/>
            <w:b/>
            <w:bCs/>
          </w:rPr>
          <w:t>r</w:t>
        </w:r>
        <w:r w:rsidRPr="00864A1E">
          <w:rPr>
            <w:rStyle w:val="Hipercze"/>
            <w:b/>
            <w:bCs/>
          </w:rPr>
          <w:t>a</w:t>
        </w:r>
        <w:r w:rsidRPr="00864A1E">
          <w:rPr>
            <w:rStyle w:val="Hipercze"/>
            <w:b/>
            <w:bCs/>
          </w:rPr>
          <w:t>n</w:t>
        </w:r>
        <w:r w:rsidRPr="00864A1E">
          <w:rPr>
            <w:rStyle w:val="Hipercze"/>
            <w:b/>
            <w:bCs/>
          </w:rPr>
          <w:t>ia</w:t>
        </w:r>
      </w:hyperlink>
      <w:r>
        <w:rPr>
          <w:b/>
          <w:bCs/>
        </w:rPr>
        <w:t>.</w:t>
      </w:r>
    </w:p>
    <w:p w14:paraId="47BACD5A" w14:textId="77777777" w:rsidR="00F1529F" w:rsidRDefault="00F1529F" w:rsidP="008B4EDA">
      <w:pPr>
        <w:ind w:firstLine="360"/>
        <w:rPr>
          <w:b/>
          <w:bCs/>
        </w:rPr>
      </w:pPr>
    </w:p>
    <w:p w14:paraId="0C99D401" w14:textId="0C7E1ED4" w:rsidR="00F1529F" w:rsidRPr="00F1529F" w:rsidRDefault="00194F56" w:rsidP="00777B99">
      <w:pPr>
        <w:rPr>
          <w:b/>
          <w:bCs/>
        </w:rPr>
      </w:pPr>
      <w:r>
        <w:rPr>
          <w:b/>
          <w:bCs/>
        </w:rPr>
        <w:t>W</w:t>
      </w:r>
      <w:r w:rsidRPr="00194F56">
        <w:rPr>
          <w:b/>
          <w:bCs/>
        </w:rPr>
        <w:t>zór informacji</w:t>
      </w:r>
      <w:r>
        <w:rPr>
          <w:b/>
          <w:bCs/>
        </w:rPr>
        <w:t xml:space="preserve"> (posiada magazynu)</w:t>
      </w:r>
      <w:r w:rsidRPr="00194F56">
        <w:rPr>
          <w:b/>
          <w:bCs/>
        </w:rPr>
        <w:t>, o której mowa w art. 43g ust. 5 ustawy z dnia 10 kwietnia 1997 r. - Prawo energetyczne</w:t>
      </w:r>
      <w:r w:rsidR="00777B99">
        <w:rPr>
          <w:b/>
          <w:bCs/>
        </w:rPr>
        <w:t xml:space="preserve"> – </w:t>
      </w:r>
      <w:hyperlink r:id="rId6" w:history="1">
        <w:r w:rsidR="00777B99" w:rsidRPr="00864A1E">
          <w:rPr>
            <w:rStyle w:val="Hipercze"/>
            <w:b/>
            <w:bCs/>
          </w:rPr>
          <w:t>do pobra</w:t>
        </w:r>
        <w:r w:rsidR="00777B99" w:rsidRPr="00864A1E">
          <w:rPr>
            <w:rStyle w:val="Hipercze"/>
            <w:b/>
            <w:bCs/>
          </w:rPr>
          <w:t>n</w:t>
        </w:r>
        <w:r w:rsidR="00777B99" w:rsidRPr="00864A1E">
          <w:rPr>
            <w:rStyle w:val="Hipercze"/>
            <w:b/>
            <w:bCs/>
          </w:rPr>
          <w:t>ia</w:t>
        </w:r>
      </w:hyperlink>
      <w:r w:rsidR="00777B99">
        <w:rPr>
          <w:b/>
          <w:bCs/>
        </w:rPr>
        <w:t xml:space="preserve">. </w:t>
      </w:r>
    </w:p>
    <w:sectPr w:rsidR="00F1529F" w:rsidRPr="00F1529F" w:rsidSect="002B64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B3013"/>
    <w:multiLevelType w:val="hybridMultilevel"/>
    <w:tmpl w:val="EDB4D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A5A51"/>
    <w:multiLevelType w:val="hybridMultilevel"/>
    <w:tmpl w:val="56903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1E7C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371345">
    <w:abstractNumId w:val="0"/>
  </w:num>
  <w:num w:numId="2" w16cid:durableId="131055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58"/>
    <w:rsid w:val="00163B67"/>
    <w:rsid w:val="00193D6E"/>
    <w:rsid w:val="00194F56"/>
    <w:rsid w:val="002B64D4"/>
    <w:rsid w:val="004B0241"/>
    <w:rsid w:val="005B0958"/>
    <w:rsid w:val="00624905"/>
    <w:rsid w:val="00684181"/>
    <w:rsid w:val="006873F3"/>
    <w:rsid w:val="00740D6F"/>
    <w:rsid w:val="00777B99"/>
    <w:rsid w:val="00864A1E"/>
    <w:rsid w:val="008B4EDA"/>
    <w:rsid w:val="00A45738"/>
    <w:rsid w:val="00B332C9"/>
    <w:rsid w:val="00B76D2F"/>
    <w:rsid w:val="00BC1030"/>
    <w:rsid w:val="00F146C5"/>
    <w:rsid w:val="00F1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8235"/>
  <w15:chartTrackingRefBased/>
  <w15:docId w15:val="{EAB6D5FE-E32C-485E-9650-33A99378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D6E"/>
    <w:pPr>
      <w:spacing w:after="0" w:line="276" w:lineRule="auto"/>
      <w:jc w:val="both"/>
    </w:pPr>
    <w:rPr>
      <w:rFonts w:ascii="Cambria" w:hAnsi="Cambria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rsid w:val="00193D6E"/>
    <w:pPr>
      <w:spacing w:line="240" w:lineRule="auto"/>
    </w:pPr>
    <w:rPr>
      <w:rFonts w:ascii="Segoe UI" w:hAnsi="Segoe UI" w:cs="Segoe UI"/>
      <w:sz w:val="16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D6E"/>
    <w:rPr>
      <w:rFonts w:ascii="Segoe UI" w:hAnsi="Segoe UI" w:cs="Segoe UI"/>
      <w:sz w:val="16"/>
      <w:szCs w:val="18"/>
    </w:rPr>
  </w:style>
  <w:style w:type="character" w:customStyle="1" w:styleId="articletitle">
    <w:name w:val="articletitle"/>
    <w:basedOn w:val="Domylnaczcionkaakapitu"/>
    <w:rsid w:val="00193D6E"/>
  </w:style>
  <w:style w:type="paragraph" w:styleId="Tekstkomentarza">
    <w:name w:val="annotation text"/>
    <w:basedOn w:val="Normalny"/>
    <w:link w:val="TekstkomentarzaZnak"/>
    <w:autoRedefine/>
    <w:uiPriority w:val="99"/>
    <w:semiHidden/>
    <w:unhideWhenUsed/>
    <w:rsid w:val="00193D6E"/>
    <w:pPr>
      <w:spacing w:line="240" w:lineRule="auto"/>
    </w:pPr>
    <w:rPr>
      <w:sz w:val="18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D6E"/>
    <w:rPr>
      <w:rFonts w:ascii="Cambria" w:hAnsi="Cambria"/>
      <w:sz w:val="1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D6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D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D6E"/>
    <w:rPr>
      <w:rFonts w:ascii="Cambria" w:hAnsi="Cambria"/>
      <w:b/>
      <w:bCs/>
      <w:sz w:val="18"/>
      <w:szCs w:val="20"/>
    </w:rPr>
  </w:style>
  <w:style w:type="paragraph" w:styleId="Akapitzlist">
    <w:name w:val="List Paragraph"/>
    <w:basedOn w:val="Normalny"/>
    <w:uiPriority w:val="34"/>
    <w:qFormat/>
    <w:rsid w:val="00193D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4A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A1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64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epierre.graffiti.nq.pl/public/html-landing-page/osd/folder5/wz%C3%B3r_informacji.pdf" TargetMode="External"/><Relationship Id="rId5" Type="http://schemas.openxmlformats.org/officeDocument/2006/relationships/hyperlink" Target="http://klepierre.graffiti.nq.pl/public/html-landing-page/osd/folder5/Rejestr_Magazynow_Energii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Lentyński</dc:creator>
  <cp:keywords/>
  <dc:description/>
  <cp:lastModifiedBy>t.zawistowski@bringmore.pl</cp:lastModifiedBy>
  <cp:revision>3</cp:revision>
  <dcterms:created xsi:type="dcterms:W3CDTF">2024-02-12T10:26:00Z</dcterms:created>
  <dcterms:modified xsi:type="dcterms:W3CDTF">2024-02-15T13:59:00Z</dcterms:modified>
</cp:coreProperties>
</file>